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AB83" w14:textId="77777777" w:rsidR="00B03CF3" w:rsidRPr="003A55FB" w:rsidRDefault="00B03CF3" w:rsidP="00B03CF3">
      <w:pPr>
        <w:pStyle w:val="BodyA"/>
        <w:ind w:left="720" w:right="720" w:hanging="180"/>
        <w:rPr>
          <w:rFonts w:ascii="Arial" w:eastAsia="Arial" w:hAnsi="Arial" w:cs="Arial"/>
          <w:color w:val="2459A9"/>
          <w:sz w:val="18"/>
          <w:u w:color="2459A9"/>
        </w:rPr>
      </w:pPr>
      <w:bookmarkStart w:id="0" w:name="_GoBack"/>
      <w:bookmarkEnd w:id="0"/>
    </w:p>
    <w:p w14:paraId="4EEA0366" w14:textId="190C9CDC" w:rsidR="00B03CF3" w:rsidRDefault="00B03CF3" w:rsidP="007D1F56">
      <w:pPr>
        <w:pStyle w:val="BodyA"/>
        <w:ind w:left="720" w:right="720" w:hanging="180"/>
        <w:jc w:val="center"/>
        <w:rPr>
          <w:rFonts w:ascii="Arial" w:hAnsi="Arial"/>
          <w:b/>
          <w:bCs/>
          <w:color w:val="2459A9"/>
          <w:sz w:val="32"/>
          <w:szCs w:val="28"/>
          <w:u w:color="002060"/>
        </w:rPr>
      </w:pPr>
      <w:r>
        <w:rPr>
          <w:noProof/>
        </w:rPr>
        <w:drawing>
          <wp:inline distT="0" distB="0" distL="0" distR="0" wp14:anchorId="1ED16999" wp14:editId="4A42642A">
            <wp:extent cx="2424113" cy="260770"/>
            <wp:effectExtent l="0" t="0" r="0" b="6350"/>
            <wp:docPr id="2" name="Picture 2" descr="C:\Users\a103180\Desktop\HW_Logos_FINAL_Full_Color Tert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03180\Desktop\HW_Logos_FINAL_Full_Color Tertiar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9066" cy="286045"/>
                    </a:xfrm>
                    <a:prstGeom prst="rect">
                      <a:avLst/>
                    </a:prstGeom>
                    <a:noFill/>
                    <a:ln>
                      <a:noFill/>
                    </a:ln>
                  </pic:spPr>
                </pic:pic>
              </a:graphicData>
            </a:graphic>
          </wp:inline>
        </w:drawing>
      </w:r>
    </w:p>
    <w:p w14:paraId="497A26F9" w14:textId="77777777" w:rsidR="007D1F56" w:rsidRPr="003A55FB" w:rsidRDefault="007D1F56" w:rsidP="007D1F56">
      <w:pPr>
        <w:pStyle w:val="BodyA"/>
        <w:ind w:left="720" w:right="720" w:hanging="180"/>
        <w:jc w:val="center"/>
        <w:rPr>
          <w:rFonts w:ascii="Arial" w:hAnsi="Arial"/>
          <w:b/>
          <w:bCs/>
          <w:color w:val="2459A9"/>
          <w:sz w:val="36"/>
          <w:szCs w:val="28"/>
          <w:u w:color="002060"/>
        </w:rPr>
      </w:pPr>
    </w:p>
    <w:p w14:paraId="0291448A" w14:textId="52C40ABC" w:rsidR="004D2856" w:rsidRPr="003A55FB" w:rsidRDefault="007A3FD1" w:rsidP="007D1F56">
      <w:pPr>
        <w:pStyle w:val="BodyA"/>
        <w:ind w:left="540" w:right="720"/>
        <w:jc w:val="center"/>
        <w:rPr>
          <w:rFonts w:asciiTheme="minorHAnsi" w:hAnsiTheme="minorHAnsi" w:cs="Arial"/>
          <w:b/>
          <w:bCs/>
          <w:color w:val="2459A9"/>
          <w:sz w:val="20"/>
          <w:szCs w:val="20"/>
          <w:u w:color="002060"/>
        </w:rPr>
      </w:pPr>
      <w:r>
        <w:rPr>
          <w:rFonts w:asciiTheme="minorHAnsi" w:hAnsiTheme="minorHAnsi" w:cs="Arial"/>
          <w:b/>
          <w:bCs/>
          <w:color w:val="2459A9"/>
          <w:sz w:val="24"/>
          <w:szCs w:val="20"/>
          <w:u w:color="002060"/>
        </w:rPr>
        <w:t>HR Business Partner</w:t>
      </w:r>
    </w:p>
    <w:p w14:paraId="7ED3F1B9" w14:textId="77777777" w:rsidR="007D1F56" w:rsidRPr="003A55FB" w:rsidRDefault="007D1F56" w:rsidP="007D1F56">
      <w:pPr>
        <w:pStyle w:val="BodyA"/>
        <w:ind w:left="540" w:right="720"/>
        <w:jc w:val="center"/>
        <w:rPr>
          <w:rFonts w:asciiTheme="minorHAnsi" w:hAnsiTheme="minorHAnsi" w:cs="Arial"/>
          <w:b/>
          <w:bCs/>
          <w:color w:val="2459A9"/>
          <w:sz w:val="20"/>
          <w:szCs w:val="20"/>
          <w:u w:color="002060"/>
        </w:rPr>
      </w:pPr>
    </w:p>
    <w:p w14:paraId="05DC2D75" w14:textId="3F8A7F57" w:rsidR="007A3FD1" w:rsidRDefault="007A3FD1" w:rsidP="007D1F56">
      <w:pPr>
        <w:ind w:left="540" w:right="540"/>
        <w:rPr>
          <w:rFonts w:asciiTheme="minorHAnsi" w:hAnsiTheme="minorHAnsi" w:cs="Arial" w:hint="eastAsia"/>
          <w:b/>
          <w:bCs/>
          <w:color w:val="000000"/>
          <w:sz w:val="22"/>
          <w:szCs w:val="20"/>
        </w:rPr>
      </w:pPr>
      <w:r w:rsidRPr="007A3FD1">
        <w:rPr>
          <w:rFonts w:asciiTheme="minorHAnsi" w:hAnsiTheme="minorHAnsi" w:cs="Arial"/>
          <w:color w:val="4A4A4A"/>
          <w:sz w:val="20"/>
          <w:szCs w:val="20"/>
          <w:shd w:val="clear" w:color="auto" w:fill="FFFFFF"/>
        </w:rPr>
        <w:t>The HR Business Partner provides tactical and strategic consultation to assigned business unit leaders on talent management strategies in support of business objectives. This role supports HR programs and processes within the assigned business unit including talent, performance, compensation, organization design and development, various assessments, and talent planning as well as other key initiatives. Serving as a liaison to the HR Centers of Excellence (COEs), including Talent Acquisition, Learning &amp; Development, Total Rewards, and Talent Management, the HR Business Partner assesses and anticipates HR-related needs of the business units and seeks to develop integrated solutions.</w:t>
      </w:r>
      <w:r>
        <w:rPr>
          <w:rFonts w:asciiTheme="minorHAnsi" w:hAnsiTheme="minorHAnsi" w:cs="Arial"/>
          <w:color w:val="4A4A4A"/>
          <w:sz w:val="20"/>
          <w:szCs w:val="20"/>
          <w:shd w:val="clear" w:color="auto" w:fill="FFFFFF"/>
        </w:rPr>
        <w:t xml:space="preserve"> This position may be located in our New Orleans, LA. </w:t>
      </w:r>
      <w:proofErr w:type="gramStart"/>
      <w:r>
        <w:rPr>
          <w:rFonts w:asciiTheme="minorHAnsi" w:hAnsiTheme="minorHAnsi" w:cs="Arial"/>
          <w:color w:val="4A4A4A"/>
          <w:sz w:val="20"/>
          <w:szCs w:val="20"/>
          <w:shd w:val="clear" w:color="auto" w:fill="FFFFFF"/>
        </w:rPr>
        <w:t>or</w:t>
      </w:r>
      <w:proofErr w:type="gramEnd"/>
      <w:r>
        <w:rPr>
          <w:rFonts w:asciiTheme="minorHAnsi" w:hAnsiTheme="minorHAnsi" w:cs="Arial"/>
          <w:color w:val="4A4A4A"/>
          <w:sz w:val="20"/>
          <w:szCs w:val="20"/>
          <w:shd w:val="clear" w:color="auto" w:fill="FFFFFF"/>
        </w:rPr>
        <w:t xml:space="preserve"> Gulfport, MS. office.</w:t>
      </w:r>
      <w:r w:rsidR="007D1F56" w:rsidRPr="003A55FB">
        <w:rPr>
          <w:rFonts w:asciiTheme="minorHAnsi" w:hAnsiTheme="minorHAnsi" w:cs="Arial"/>
          <w:b/>
          <w:bCs/>
          <w:color w:val="000000"/>
          <w:sz w:val="20"/>
          <w:szCs w:val="20"/>
        </w:rPr>
        <w:br/>
      </w:r>
    </w:p>
    <w:p w14:paraId="3BC60CF5" w14:textId="48C34288" w:rsidR="007D1F56" w:rsidRPr="003A55FB" w:rsidRDefault="007D1F56" w:rsidP="007D1F56">
      <w:pPr>
        <w:ind w:left="540" w:right="540"/>
        <w:rPr>
          <w:rFonts w:asciiTheme="minorHAnsi" w:hAnsiTheme="minorHAnsi" w:cs="Arial" w:hint="eastAsia"/>
          <w:b/>
          <w:bCs/>
          <w:color w:val="000000"/>
          <w:sz w:val="20"/>
          <w:szCs w:val="20"/>
        </w:rPr>
      </w:pPr>
      <w:r w:rsidRPr="003A55FB">
        <w:rPr>
          <w:rFonts w:asciiTheme="minorHAnsi" w:hAnsiTheme="minorHAnsi" w:cs="Arial"/>
          <w:b/>
          <w:bCs/>
          <w:color w:val="000000"/>
          <w:sz w:val="22"/>
          <w:szCs w:val="20"/>
        </w:rPr>
        <w:t xml:space="preserve">Duties/Responsibilities </w:t>
      </w:r>
    </w:p>
    <w:p w14:paraId="78FBBB24" w14:textId="77777777" w:rsidR="007A3FD1" w:rsidRPr="007A3FD1" w:rsidRDefault="007A3FD1" w:rsidP="007A3FD1">
      <w:pPr>
        <w:pStyle w:val="ListParagraph"/>
        <w:numPr>
          <w:ilvl w:val="0"/>
          <w:numId w:val="7"/>
        </w:numPr>
        <w:shd w:val="clear" w:color="auto" w:fill="FFFFFF"/>
        <w:textAlignment w:val="baseline"/>
        <w:rPr>
          <w:rFonts w:asciiTheme="minorHAnsi" w:eastAsia="Times New Roman" w:hAnsiTheme="minorHAnsi" w:cs="Arial"/>
          <w:color w:val="4A4A4A"/>
          <w:sz w:val="20"/>
          <w:szCs w:val="20"/>
          <w:bdr w:val="none" w:sz="0" w:space="0" w:color="auto" w:frame="1"/>
        </w:rPr>
      </w:pPr>
      <w:r w:rsidRPr="007A3FD1">
        <w:rPr>
          <w:rFonts w:asciiTheme="minorHAnsi" w:eastAsia="Times New Roman" w:hAnsiTheme="minorHAnsi" w:cs="Arial"/>
          <w:color w:val="4A4A4A"/>
          <w:sz w:val="20"/>
          <w:szCs w:val="20"/>
          <w:bdr w:val="none" w:sz="0" w:space="0" w:color="auto" w:frame="1"/>
        </w:rPr>
        <w:t>Deliver value-added services to business unit management to identify and align the talent and business needs of their assigned business units. Partner with business unit management and HR COEs to provide expert consultation on talent management solutions including talent acquisition and development, succession planning, organizational design and development, workforce planning, compensation, performance management, and associate engagement in support of business objectives.</w:t>
      </w:r>
    </w:p>
    <w:p w14:paraId="6C475421" w14:textId="77777777" w:rsidR="007A3FD1" w:rsidRPr="007A3FD1" w:rsidRDefault="007A3FD1" w:rsidP="007A3FD1">
      <w:pPr>
        <w:pStyle w:val="ListParagraph"/>
        <w:numPr>
          <w:ilvl w:val="0"/>
          <w:numId w:val="7"/>
        </w:numPr>
        <w:shd w:val="clear" w:color="auto" w:fill="FFFFFF"/>
        <w:textAlignment w:val="baseline"/>
        <w:rPr>
          <w:rFonts w:asciiTheme="minorHAnsi" w:eastAsia="Times New Roman" w:hAnsiTheme="minorHAnsi" w:cs="Arial"/>
          <w:color w:val="4A4A4A"/>
          <w:sz w:val="20"/>
          <w:szCs w:val="20"/>
          <w:bdr w:val="none" w:sz="0" w:space="0" w:color="auto" w:frame="1"/>
        </w:rPr>
      </w:pPr>
      <w:r w:rsidRPr="007A3FD1">
        <w:rPr>
          <w:rFonts w:asciiTheme="minorHAnsi" w:eastAsia="Times New Roman" w:hAnsiTheme="minorHAnsi" w:cs="Arial"/>
          <w:color w:val="4A4A4A"/>
          <w:sz w:val="20"/>
          <w:szCs w:val="20"/>
          <w:bdr w:val="none" w:sz="0" w:space="0" w:color="auto" w:frame="1"/>
        </w:rPr>
        <w:t>Embrace the HR Operating Model by proactively and effectively collaborating with HR COEs to positively influence outcomes and provide integrated solutions for assigned business units. Support annual, routine, and ad-hoc HR processes within assigned business units. Ensure proper hand-off to HR Service Center or HR COEs as appropriate.</w:t>
      </w:r>
    </w:p>
    <w:p w14:paraId="0773602A" w14:textId="77777777" w:rsidR="007A3FD1" w:rsidRPr="007A3FD1" w:rsidRDefault="007A3FD1" w:rsidP="007A3FD1">
      <w:pPr>
        <w:pStyle w:val="ListParagraph"/>
        <w:numPr>
          <w:ilvl w:val="0"/>
          <w:numId w:val="7"/>
        </w:numPr>
        <w:shd w:val="clear" w:color="auto" w:fill="FFFFFF"/>
        <w:textAlignment w:val="baseline"/>
        <w:rPr>
          <w:rFonts w:asciiTheme="minorHAnsi" w:eastAsia="Times New Roman" w:hAnsiTheme="minorHAnsi" w:cs="Arial"/>
          <w:color w:val="4A4A4A"/>
          <w:sz w:val="20"/>
          <w:szCs w:val="20"/>
          <w:bdr w:val="none" w:sz="0" w:space="0" w:color="auto" w:frame="1"/>
        </w:rPr>
      </w:pPr>
      <w:r w:rsidRPr="007A3FD1">
        <w:rPr>
          <w:rFonts w:asciiTheme="minorHAnsi" w:eastAsia="Times New Roman" w:hAnsiTheme="minorHAnsi" w:cs="Arial"/>
          <w:color w:val="4A4A4A"/>
          <w:sz w:val="20"/>
          <w:szCs w:val="20"/>
          <w:bdr w:val="none" w:sz="0" w:space="0" w:color="auto" w:frame="1"/>
        </w:rPr>
        <w:lastRenderedPageBreak/>
        <w:t xml:space="preserve">Work directly with business unit leadership to diagnose and analyze current and future talent needs, including workforce planning, development opportunities, as well as attraction and retention strategies. Facilitate organizational change on complex change efforts, i.e. major efficiency and process/performance improvement projects. </w:t>
      </w:r>
      <w:proofErr w:type="gramStart"/>
      <w:r w:rsidRPr="007A3FD1">
        <w:rPr>
          <w:rFonts w:asciiTheme="minorHAnsi" w:eastAsia="Times New Roman" w:hAnsiTheme="minorHAnsi" w:cs="Arial"/>
          <w:color w:val="4A4A4A"/>
          <w:sz w:val="20"/>
          <w:szCs w:val="20"/>
          <w:bdr w:val="none" w:sz="0" w:space="0" w:color="auto" w:frame="1"/>
        </w:rPr>
        <w:t>Advise</w:t>
      </w:r>
      <w:proofErr w:type="gramEnd"/>
      <w:r w:rsidRPr="007A3FD1">
        <w:rPr>
          <w:rFonts w:asciiTheme="minorHAnsi" w:eastAsia="Times New Roman" w:hAnsiTheme="minorHAnsi" w:cs="Arial"/>
          <w:color w:val="4A4A4A"/>
          <w:sz w:val="20"/>
          <w:szCs w:val="20"/>
          <w:bdr w:val="none" w:sz="0" w:space="0" w:color="auto" w:frame="1"/>
        </w:rPr>
        <w:t xml:space="preserve"> on organizational structure to keep aligned the business demands.</w:t>
      </w:r>
    </w:p>
    <w:p w14:paraId="6AAA1F7E" w14:textId="77777777" w:rsidR="003A55FB" w:rsidRPr="003A55FB" w:rsidRDefault="003A55FB" w:rsidP="007D1F56">
      <w:pPr>
        <w:pStyle w:val="NormalWeb"/>
        <w:spacing w:before="0" w:after="0"/>
        <w:ind w:right="540" w:firstLine="540"/>
        <w:rPr>
          <w:rFonts w:asciiTheme="minorHAnsi" w:hAnsiTheme="minorHAnsi" w:cs="Arial"/>
          <w:b/>
          <w:bCs/>
          <w:sz w:val="20"/>
          <w:szCs w:val="20"/>
        </w:rPr>
      </w:pPr>
    </w:p>
    <w:p w14:paraId="43F1ED92" w14:textId="77777777" w:rsidR="007D1F56" w:rsidRPr="003A55FB" w:rsidRDefault="007D1F56" w:rsidP="007D1F56">
      <w:pPr>
        <w:pStyle w:val="NormalWeb"/>
        <w:spacing w:before="0" w:after="0"/>
        <w:ind w:right="540" w:firstLine="540"/>
        <w:rPr>
          <w:rFonts w:asciiTheme="minorHAnsi" w:hAnsiTheme="minorHAnsi" w:cs="Arial"/>
          <w:b/>
          <w:bCs/>
          <w:sz w:val="22"/>
          <w:szCs w:val="20"/>
        </w:rPr>
      </w:pPr>
      <w:r w:rsidRPr="003A55FB">
        <w:rPr>
          <w:rFonts w:asciiTheme="minorHAnsi" w:hAnsiTheme="minorHAnsi" w:cs="Arial"/>
          <w:b/>
          <w:bCs/>
          <w:sz w:val="22"/>
          <w:szCs w:val="20"/>
        </w:rPr>
        <w:t xml:space="preserve">Position Qualifications </w:t>
      </w:r>
    </w:p>
    <w:p w14:paraId="48259AEC" w14:textId="77777777" w:rsidR="007A3FD1" w:rsidRPr="007A3FD1" w:rsidRDefault="007A3FD1" w:rsidP="007A3FD1">
      <w:pPr>
        <w:pStyle w:val="ListParagraph"/>
        <w:numPr>
          <w:ilvl w:val="0"/>
          <w:numId w:val="11"/>
        </w:numPr>
        <w:tabs>
          <w:tab w:val="left" w:pos="900"/>
        </w:tabs>
        <w:ind w:right="540"/>
        <w:rPr>
          <w:rFonts w:asciiTheme="minorHAnsi" w:eastAsia="Times New Roman" w:hAnsiTheme="minorHAnsi" w:cs="Arial"/>
          <w:color w:val="4A4A4A"/>
          <w:sz w:val="20"/>
          <w:szCs w:val="20"/>
        </w:rPr>
      </w:pPr>
      <w:r w:rsidRPr="007A3FD1">
        <w:rPr>
          <w:rFonts w:asciiTheme="minorHAnsi" w:eastAsia="Times New Roman" w:hAnsiTheme="minorHAnsi" w:cs="Arial"/>
          <w:color w:val="4A4A4A"/>
          <w:sz w:val="20"/>
          <w:szCs w:val="20"/>
        </w:rPr>
        <w:t>Bachelor's degree in HR or related field (or equivalent working experience or training) required.</w:t>
      </w:r>
    </w:p>
    <w:p w14:paraId="65B523F4" w14:textId="77777777" w:rsidR="007A3FD1" w:rsidRPr="007A3FD1" w:rsidRDefault="007A3FD1" w:rsidP="007A3FD1">
      <w:pPr>
        <w:pStyle w:val="ListParagraph"/>
        <w:numPr>
          <w:ilvl w:val="0"/>
          <w:numId w:val="11"/>
        </w:numPr>
        <w:tabs>
          <w:tab w:val="left" w:pos="900"/>
        </w:tabs>
        <w:ind w:right="540"/>
        <w:rPr>
          <w:rFonts w:asciiTheme="minorHAnsi" w:eastAsia="Times New Roman" w:hAnsiTheme="minorHAnsi" w:cs="Arial"/>
          <w:color w:val="4A4A4A"/>
          <w:sz w:val="20"/>
          <w:szCs w:val="20"/>
        </w:rPr>
      </w:pPr>
      <w:r w:rsidRPr="007A3FD1">
        <w:rPr>
          <w:rFonts w:asciiTheme="minorHAnsi" w:eastAsia="Times New Roman" w:hAnsiTheme="minorHAnsi" w:cs="Arial"/>
          <w:color w:val="4A4A4A"/>
          <w:sz w:val="20"/>
          <w:szCs w:val="20"/>
        </w:rPr>
        <w:t>A minimum of 3 years of related experience. Relevant HR generalist experience working with leaders in a large, corporate environment is preferred. Financial Services experience preferred. Working knowledge of multiple disciplines within HR as well as general business acumen is required.</w:t>
      </w:r>
    </w:p>
    <w:p w14:paraId="713127C5" w14:textId="77777777" w:rsidR="007A3FD1" w:rsidRPr="007A3FD1" w:rsidRDefault="007A3FD1" w:rsidP="007A3FD1">
      <w:pPr>
        <w:pStyle w:val="ListParagraph"/>
        <w:numPr>
          <w:ilvl w:val="0"/>
          <w:numId w:val="11"/>
        </w:numPr>
        <w:tabs>
          <w:tab w:val="left" w:pos="900"/>
        </w:tabs>
        <w:ind w:right="540"/>
        <w:rPr>
          <w:rFonts w:asciiTheme="minorHAnsi" w:eastAsia="Times New Roman" w:hAnsiTheme="minorHAnsi" w:cs="Arial"/>
          <w:color w:val="4A4A4A"/>
          <w:sz w:val="20"/>
          <w:szCs w:val="20"/>
        </w:rPr>
      </w:pPr>
      <w:r w:rsidRPr="007A3FD1">
        <w:rPr>
          <w:rFonts w:asciiTheme="minorHAnsi" w:eastAsia="Times New Roman" w:hAnsiTheme="minorHAnsi" w:cs="Arial"/>
          <w:color w:val="4A4A4A"/>
          <w:sz w:val="20"/>
          <w:szCs w:val="20"/>
        </w:rPr>
        <w:t>PHR or SHRM-CP certification preferred.</w:t>
      </w:r>
    </w:p>
    <w:p w14:paraId="05CFB27F" w14:textId="77777777" w:rsidR="007A3FD1" w:rsidRPr="007A3FD1" w:rsidRDefault="007A3FD1" w:rsidP="007A3FD1">
      <w:pPr>
        <w:pStyle w:val="ListParagraph"/>
        <w:numPr>
          <w:ilvl w:val="0"/>
          <w:numId w:val="11"/>
        </w:numPr>
        <w:tabs>
          <w:tab w:val="left" w:pos="900"/>
        </w:tabs>
        <w:ind w:right="540"/>
        <w:rPr>
          <w:rFonts w:asciiTheme="minorHAnsi" w:eastAsia="Times New Roman" w:hAnsiTheme="minorHAnsi" w:cs="Arial"/>
          <w:color w:val="4A4A4A"/>
          <w:sz w:val="20"/>
          <w:szCs w:val="20"/>
        </w:rPr>
      </w:pPr>
      <w:r w:rsidRPr="007A3FD1">
        <w:rPr>
          <w:rFonts w:asciiTheme="minorHAnsi" w:eastAsia="Times New Roman" w:hAnsiTheme="minorHAnsi" w:cs="Arial"/>
          <w:color w:val="4A4A4A"/>
          <w:sz w:val="20"/>
          <w:szCs w:val="20"/>
        </w:rPr>
        <w:t>Strong client focus with outstanding judgment, critical thinking, and analytical skills.</w:t>
      </w:r>
    </w:p>
    <w:p w14:paraId="72980A13" w14:textId="77777777" w:rsidR="00A21B1C" w:rsidRPr="00806893" w:rsidRDefault="00A21B1C" w:rsidP="00A21B1C">
      <w:pPr>
        <w:pStyle w:val="ListParagraph"/>
        <w:tabs>
          <w:tab w:val="left" w:pos="900"/>
        </w:tabs>
        <w:ind w:left="900" w:right="540"/>
        <w:rPr>
          <w:rFonts w:asciiTheme="majorHAnsi" w:hAnsiTheme="majorHAnsi"/>
          <w:sz w:val="20"/>
          <w:szCs w:val="20"/>
        </w:rPr>
      </w:pPr>
    </w:p>
    <w:p w14:paraId="27B1CC85" w14:textId="77777777" w:rsidR="00A21B1C" w:rsidRDefault="00A21B1C" w:rsidP="00A21B1C">
      <w:pPr>
        <w:pStyle w:val="ListParagraph"/>
        <w:tabs>
          <w:tab w:val="left" w:pos="900"/>
        </w:tabs>
        <w:ind w:left="540" w:right="540"/>
      </w:pPr>
    </w:p>
    <w:p w14:paraId="050969A8" w14:textId="3C8BE942" w:rsidR="003A55FB" w:rsidRDefault="00E90F94" w:rsidP="00826F81">
      <w:pPr>
        <w:pStyle w:val="ListParagraph"/>
        <w:tabs>
          <w:tab w:val="left" w:pos="900"/>
        </w:tabs>
        <w:ind w:left="540" w:right="540"/>
        <w:jc w:val="center"/>
        <w:rPr>
          <w:rFonts w:asciiTheme="minorHAnsi" w:hAnsiTheme="minorHAnsi" w:cstheme="minorHAnsi"/>
          <w:b/>
          <w:sz w:val="18"/>
          <w:szCs w:val="18"/>
        </w:rPr>
      </w:pPr>
      <w:hyperlink r:id="rId11" w:history="1">
        <w:r w:rsidR="00826F81" w:rsidRPr="00083890">
          <w:rPr>
            <w:rStyle w:val="Hyperlink"/>
            <w:rFonts w:asciiTheme="minorHAnsi" w:hAnsiTheme="minorHAnsi" w:cstheme="minorHAnsi"/>
            <w:b/>
            <w:sz w:val="18"/>
            <w:szCs w:val="18"/>
          </w:rPr>
          <w:t>www.hancockwhitney.com/careers</w:t>
        </w:r>
      </w:hyperlink>
      <w:r w:rsidR="00826F81">
        <w:rPr>
          <w:rFonts w:asciiTheme="minorHAnsi" w:hAnsiTheme="minorHAnsi" w:cstheme="minorHAnsi"/>
          <w:b/>
          <w:sz w:val="18"/>
          <w:szCs w:val="18"/>
        </w:rPr>
        <w:t xml:space="preserve"> </w:t>
      </w:r>
    </w:p>
    <w:sectPr w:rsidR="003A55FB" w:rsidSect="00806893">
      <w:footerReference w:type="default" r:id="rId12"/>
      <w:headerReference w:type="first" r:id="rId13"/>
      <w:footerReference w:type="first" r:id="rId14"/>
      <w:pgSz w:w="12240" w:h="15840"/>
      <w:pgMar w:top="720" w:right="0" w:bottom="720" w:left="24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152C" w14:textId="77777777" w:rsidR="009B2917" w:rsidRDefault="009B2917">
      <w:r>
        <w:separator/>
      </w:r>
    </w:p>
  </w:endnote>
  <w:endnote w:type="continuationSeparator" w:id="0">
    <w:p w14:paraId="36F0AB78" w14:textId="77777777" w:rsidR="009B2917" w:rsidRDefault="009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8064" w14:textId="77777777" w:rsidR="004D2856" w:rsidRDefault="004D2856">
    <w:pPr>
      <w:pStyle w:val="BodyA"/>
      <w:tabs>
        <w:tab w:val="left" w:pos="10444"/>
      </w:tabs>
      <w:spacing w:after="200"/>
      <w:ind w:left="720"/>
      <w:jc w:val="center"/>
      <w:rPr>
        <w:rStyle w:val="Hyperlink0"/>
        <w:sz w:val="18"/>
        <w:szCs w:val="18"/>
      </w:rPr>
    </w:pPr>
  </w:p>
  <w:p w14:paraId="2CBC7424" w14:textId="77777777" w:rsidR="004D2856" w:rsidRDefault="004D2856">
    <w:pPr>
      <w:pStyle w:val="BodyA"/>
      <w:tabs>
        <w:tab w:val="left" w:pos="10444"/>
      </w:tabs>
      <w:spacing w:after="200"/>
      <w:ind w:left="720"/>
      <w:jc w:val="center"/>
      <w:rPr>
        <w:rStyle w:val="Hyperlink0"/>
        <w:sz w:val="18"/>
        <w:szCs w:val="18"/>
      </w:rPr>
    </w:pPr>
  </w:p>
  <w:p w14:paraId="54C04DA3" w14:textId="77777777" w:rsidR="004D2856" w:rsidRDefault="004D2856">
    <w:pPr>
      <w:pStyle w:val="BodyA"/>
      <w:tabs>
        <w:tab w:val="left" w:pos="10444"/>
      </w:tabs>
      <w:spacing w:after="200"/>
      <w:ind w:left="720"/>
      <w:rPr>
        <w:rFonts w:ascii="Arial" w:hAnsi="Arial"/>
        <w:color w:val="404040"/>
        <w:sz w:val="18"/>
        <w:szCs w:val="18"/>
        <w:u w:color="404040"/>
      </w:rPr>
    </w:pPr>
  </w:p>
  <w:p w14:paraId="706F47C5" w14:textId="77777777" w:rsidR="004D2856" w:rsidRDefault="0014152C">
    <w:pPr>
      <w:pStyle w:val="BodyA"/>
      <w:tabs>
        <w:tab w:val="left" w:pos="10444"/>
      </w:tabs>
      <w:spacing w:after="200"/>
      <w:ind w:left="720"/>
    </w:pPr>
    <w:r>
      <w:rPr>
        <w:rFonts w:ascii="Arial" w:hAnsi="Arial"/>
        <w:color w:val="404040"/>
        <w:sz w:val="18"/>
        <w:szCs w:val="18"/>
        <w:u w:color="404040"/>
      </w:rPr>
      <w:t>Whitney Bank uses the trade name Hancock, Hancock Bank and Whitney. Equal Opportunity/Affirmative Action Employers.  All qualified applicants will receive consideration for employment without regard to race, color, religious beliefs, national origin, ancestry, citizenship, sex, gender, sexual orientation, gender identity, marital status, age, physical or mental disability or history of disability, genetic information, status as a protected veteran, disabled veteran, or other protected characteristics as required by federal, state and local 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3CEF" w14:textId="77777777" w:rsidR="004660AA" w:rsidRDefault="004660AA" w:rsidP="004660AA">
    <w:pPr>
      <w:pStyle w:val="BodyA"/>
      <w:tabs>
        <w:tab w:val="left" w:pos="1080"/>
      </w:tabs>
      <w:ind w:left="720" w:right="720"/>
    </w:pPr>
  </w:p>
  <w:p w14:paraId="44696953" w14:textId="77777777" w:rsidR="004660AA" w:rsidRPr="00806893" w:rsidRDefault="004660AA" w:rsidP="008732E6">
    <w:pPr>
      <w:pStyle w:val="Body"/>
      <w:tabs>
        <w:tab w:val="left" w:pos="10444"/>
      </w:tabs>
      <w:spacing w:after="200"/>
      <w:ind w:left="540"/>
      <w:rPr>
        <w:sz w:val="16"/>
        <w:szCs w:val="16"/>
      </w:rPr>
    </w:pPr>
    <w:r w:rsidRPr="00806893">
      <w:rPr>
        <w:rStyle w:val="None"/>
        <w:rFonts w:ascii="Arial" w:hAnsi="Arial"/>
        <w:color w:val="404040"/>
        <w:sz w:val="16"/>
        <w:szCs w:val="16"/>
        <w:u w:color="404040"/>
      </w:rPr>
      <w:t>Equal Opportun</w:t>
    </w:r>
    <w:r w:rsidR="00EA61F4" w:rsidRPr="00806893">
      <w:rPr>
        <w:rStyle w:val="None"/>
        <w:rFonts w:ascii="Arial" w:hAnsi="Arial"/>
        <w:color w:val="404040"/>
        <w:sz w:val="16"/>
        <w:szCs w:val="16"/>
        <w:u w:color="404040"/>
      </w:rPr>
      <w:t>ity/Affirmative Action Employer</w:t>
    </w:r>
    <w:r w:rsidRPr="00806893">
      <w:rPr>
        <w:rStyle w:val="None"/>
        <w:rFonts w:ascii="Arial" w:hAnsi="Arial"/>
        <w:color w:val="404040"/>
        <w:sz w:val="16"/>
        <w:szCs w:val="16"/>
        <w:u w:color="404040"/>
      </w:rPr>
      <w:t>.</w:t>
    </w:r>
    <w:r w:rsidR="00EA61F4" w:rsidRPr="00806893">
      <w:rPr>
        <w:rStyle w:val="None"/>
        <w:rFonts w:ascii="Arial" w:hAnsi="Arial"/>
        <w:color w:val="404040"/>
        <w:sz w:val="16"/>
        <w:szCs w:val="16"/>
        <w:u w:color="404040"/>
      </w:rPr>
      <w:t> </w:t>
    </w:r>
    <w:r w:rsidRPr="00806893">
      <w:rPr>
        <w:rStyle w:val="None"/>
        <w:rFonts w:ascii="Arial" w:hAnsi="Arial"/>
        <w:color w:val="404040"/>
        <w:sz w:val="16"/>
        <w:szCs w:val="16"/>
        <w:u w:color="404040"/>
      </w:rPr>
      <w:t>All qualified applicants will receive consideration for employment without regard to race, color, religious beliefs, national origin, ancestry, citizenship, sex, gender, sexual orientation, gender identity, marital status, age, physical or mental disability or history of disability, genetic information, status as a protected veteran, disabled veteran, or other protected characteristics as required by federal, state and local laws.</w:t>
    </w:r>
  </w:p>
  <w:p w14:paraId="1AFA8074" w14:textId="77777777" w:rsidR="004D2856" w:rsidRDefault="004D285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0115" w14:textId="77777777" w:rsidR="009B2917" w:rsidRDefault="009B2917">
      <w:r>
        <w:separator/>
      </w:r>
    </w:p>
  </w:footnote>
  <w:footnote w:type="continuationSeparator" w:id="0">
    <w:p w14:paraId="6FDF998A" w14:textId="77777777" w:rsidR="009B2917" w:rsidRDefault="009B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C8AE" w14:textId="77777777" w:rsidR="004D2856" w:rsidRDefault="004D2856">
    <w:pPr>
      <w:pStyle w:val="BodyA"/>
      <w:ind w:left="720" w:right="720"/>
      <w:rPr>
        <w:rStyle w:val="Hyperlink0"/>
      </w:rPr>
    </w:pPr>
  </w:p>
  <w:p w14:paraId="39A590B4" w14:textId="77777777" w:rsidR="004D2856" w:rsidRDefault="004D2856">
    <w:pPr>
      <w:pStyle w:val="Header"/>
    </w:pPr>
  </w:p>
  <w:p w14:paraId="1FAD2CE6" w14:textId="77777777" w:rsidR="004D2856" w:rsidRDefault="0014152C">
    <w:pPr>
      <w:pStyle w:val="Header"/>
      <w:jc w:val="center"/>
    </w:pPr>
    <w:r>
      <w:rPr>
        <w:noProof/>
      </w:rPr>
      <w:drawing>
        <wp:inline distT="0" distB="0" distL="0" distR="0" wp14:anchorId="6796D5CE" wp14:editId="2095230B">
          <wp:extent cx="6270572" cy="1757548"/>
          <wp:effectExtent l="0" t="0" r="0" b="0"/>
          <wp:docPr id="1" name="officeArt object" descr="C:\Users\A004770\Desktop\Inside_HHC.jpg"/>
          <wp:cNvGraphicFramePr/>
          <a:graphic xmlns:a="http://schemas.openxmlformats.org/drawingml/2006/main">
            <a:graphicData uri="http://schemas.openxmlformats.org/drawingml/2006/picture">
              <pic:pic xmlns:pic="http://schemas.openxmlformats.org/drawingml/2006/picture">
                <pic:nvPicPr>
                  <pic:cNvPr id="1073741825" name="C:\Users\A004770\Desktop\Inside_HHC.jpg" descr="C:\Users\A004770\Desktop\Inside_HHC.jpg"/>
                  <pic:cNvPicPr>
                    <a:picLocks noChangeAspect="1"/>
                  </pic:cNvPicPr>
                </pic:nvPicPr>
                <pic:blipFill>
                  <a:blip r:embed="rId1">
                    <a:extLst/>
                  </a:blip>
                  <a:stretch>
                    <a:fillRect/>
                  </a:stretch>
                </pic:blipFill>
                <pic:spPr>
                  <a:xfrm>
                    <a:off x="0" y="0"/>
                    <a:ext cx="6270572" cy="1757548"/>
                  </a:xfrm>
                  <a:prstGeom prst="rect">
                    <a:avLst/>
                  </a:prstGeom>
                  <a:ln w="12700" cap="flat">
                    <a:noFill/>
                    <a:miter lim="400000"/>
                  </a:ln>
                  <a:effectLst/>
                </pic:spPr>
              </pic:pic>
            </a:graphicData>
          </a:graphic>
        </wp:inline>
      </w:drawing>
    </w:r>
  </w:p>
  <w:p w14:paraId="51A02F6C" w14:textId="77777777" w:rsidR="004D2856" w:rsidRDefault="004D2856">
    <w:pPr>
      <w:pStyle w:val="BodyA"/>
      <w:widowControl w:val="0"/>
      <w:tabs>
        <w:tab w:val="left" w:pos="10224"/>
      </w:tabs>
      <w:ind w:left="540" w:right="720"/>
      <w:rPr>
        <w:rStyle w:val="Hyperlink0"/>
        <w:sz w:val="18"/>
        <w:szCs w:val="18"/>
      </w:rPr>
    </w:pPr>
  </w:p>
  <w:p w14:paraId="09482119" w14:textId="77777777" w:rsidR="004D2856" w:rsidRPr="00B03CF3" w:rsidRDefault="0014152C">
    <w:pPr>
      <w:pStyle w:val="BodyA"/>
      <w:widowControl w:val="0"/>
      <w:tabs>
        <w:tab w:val="left" w:pos="10260"/>
      </w:tabs>
      <w:ind w:left="540" w:right="684"/>
      <w:rPr>
        <w:rFonts w:ascii="Arial" w:eastAsia="Arial" w:hAnsi="Arial" w:cs="Arial"/>
        <w:color w:val="2E2925"/>
        <w:sz w:val="17"/>
        <w:szCs w:val="17"/>
        <w:u w:color="404040"/>
      </w:rPr>
    </w:pPr>
    <w:r w:rsidRPr="00B03CF3">
      <w:rPr>
        <w:rFonts w:ascii="Arial" w:hAnsi="Arial"/>
        <w:color w:val="2E2925"/>
        <w:sz w:val="17"/>
        <w:szCs w:val="17"/>
        <w:u w:color="404040"/>
      </w:rPr>
      <w:t xml:space="preserve">When you choose a career with Hancock Whitney (Nasdaq: HWC), we pledge a heartfelt promise:  You can grow. You have a voice. You are important. You also share in a rich regional heritage and embrace core values—timeless ideals vital to our culture since the 1800s—that inspire how we serve clients, communities, and each other:  Honor &amp; Integrity, Strength &amp; Stability, Commitment to Service, Teamwork, and Personal Responsibility. </w:t>
    </w:r>
  </w:p>
  <w:p w14:paraId="2F2A6DE9" w14:textId="77777777" w:rsidR="004D2856" w:rsidRPr="00B03CF3" w:rsidRDefault="004D2856">
    <w:pPr>
      <w:pStyle w:val="BodyA"/>
      <w:widowControl w:val="0"/>
      <w:tabs>
        <w:tab w:val="left" w:pos="10224"/>
      </w:tabs>
      <w:ind w:left="540" w:right="684"/>
      <w:rPr>
        <w:rFonts w:ascii="Arial" w:eastAsia="Arial" w:hAnsi="Arial" w:cs="Arial"/>
        <w:color w:val="2E2925"/>
        <w:sz w:val="17"/>
        <w:szCs w:val="17"/>
        <w:u w:color="404040"/>
      </w:rPr>
    </w:pPr>
  </w:p>
  <w:p w14:paraId="09C75578" w14:textId="77777777" w:rsidR="004D2856" w:rsidRPr="00B03CF3" w:rsidRDefault="0014152C">
    <w:pPr>
      <w:pStyle w:val="BodyA"/>
      <w:widowControl w:val="0"/>
      <w:ind w:left="540" w:right="504"/>
      <w:rPr>
        <w:sz w:val="17"/>
        <w:szCs w:val="17"/>
      </w:rPr>
    </w:pPr>
    <w:r w:rsidRPr="00B03CF3">
      <w:rPr>
        <w:rFonts w:ascii="Arial" w:hAnsi="Arial"/>
        <w:color w:val="2E2925"/>
        <w:sz w:val="17"/>
        <w:szCs w:val="17"/>
        <w:u w:color="404040"/>
      </w:rPr>
      <w:t>A fast-growing organization consistently rated among America’s strongest, safest financial services institutions, our company is based in Gulfport, Mississippi. Our bank and subsidiaries provide contemporary, comprehensive consumer, commercial, and wealth financial products and services at regional headquarters and 200-plus financial centers across a vibrant Southeast corridor including Alabama, Florida, Louisiana, Mississippi, Tennessee, and Texas. Let our legacy lead to your future. Learn more at hancockwhitney.com/</w:t>
    </w:r>
    <w:proofErr w:type="spellStart"/>
    <w:r w:rsidRPr="00B03CF3">
      <w:rPr>
        <w:rFonts w:ascii="Arial" w:hAnsi="Arial"/>
        <w:color w:val="2E2925"/>
        <w:sz w:val="17"/>
        <w:szCs w:val="17"/>
        <w:u w:color="404040"/>
      </w:rPr>
      <w:t>ourstory</w:t>
    </w:r>
    <w:proofErr w:type="spellEnd"/>
    <w:r w:rsidRPr="00B03CF3">
      <w:rPr>
        <w:rFonts w:ascii="Arial" w:hAnsi="Arial"/>
        <w:color w:val="2E2925"/>
        <w:sz w:val="17"/>
        <w:szCs w:val="17"/>
        <w:u w:color="40404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1C4"/>
    <w:multiLevelType w:val="multilevel"/>
    <w:tmpl w:val="5F8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C2BC7"/>
    <w:multiLevelType w:val="multilevel"/>
    <w:tmpl w:val="63E8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7488A"/>
    <w:multiLevelType w:val="hybridMultilevel"/>
    <w:tmpl w:val="58C4DE60"/>
    <w:styleLink w:val="ImportedStyle2"/>
    <w:lvl w:ilvl="0" w:tplc="91D418F0">
      <w:start w:val="1"/>
      <w:numFmt w:val="bullet"/>
      <w:lvlText w:val="·"/>
      <w:lvlJc w:val="left"/>
      <w:pPr>
        <w:tabs>
          <w:tab w:val="left" w:pos="1440"/>
          <w:tab w:val="num" w:pos="1710"/>
        </w:tabs>
        <w:ind w:left="144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4BAC6">
      <w:start w:val="1"/>
      <w:numFmt w:val="bullet"/>
      <w:lvlText w:val="o"/>
      <w:lvlJc w:val="left"/>
      <w:pPr>
        <w:tabs>
          <w:tab w:val="left" w:pos="1440"/>
          <w:tab w:val="left" w:pos="1710"/>
          <w:tab w:val="num" w:pos="2790"/>
        </w:tabs>
        <w:ind w:left="252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AC3E8C">
      <w:start w:val="1"/>
      <w:numFmt w:val="bullet"/>
      <w:lvlText w:val="▪"/>
      <w:lvlJc w:val="left"/>
      <w:pPr>
        <w:tabs>
          <w:tab w:val="left" w:pos="1440"/>
          <w:tab w:val="left" w:pos="1710"/>
          <w:tab w:val="num" w:pos="3510"/>
        </w:tabs>
        <w:ind w:left="324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AC776">
      <w:start w:val="1"/>
      <w:numFmt w:val="bullet"/>
      <w:lvlText w:val="·"/>
      <w:lvlJc w:val="left"/>
      <w:pPr>
        <w:tabs>
          <w:tab w:val="left" w:pos="1440"/>
          <w:tab w:val="left" w:pos="1710"/>
          <w:tab w:val="num" w:pos="4230"/>
        </w:tabs>
        <w:ind w:left="396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ED3EE">
      <w:start w:val="1"/>
      <w:numFmt w:val="bullet"/>
      <w:lvlText w:val="o"/>
      <w:lvlJc w:val="left"/>
      <w:pPr>
        <w:tabs>
          <w:tab w:val="left" w:pos="1440"/>
          <w:tab w:val="left" w:pos="1710"/>
          <w:tab w:val="num" w:pos="4950"/>
        </w:tabs>
        <w:ind w:left="468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DEDCF0">
      <w:start w:val="1"/>
      <w:numFmt w:val="bullet"/>
      <w:lvlText w:val="▪"/>
      <w:lvlJc w:val="left"/>
      <w:pPr>
        <w:tabs>
          <w:tab w:val="left" w:pos="1440"/>
          <w:tab w:val="left" w:pos="1710"/>
          <w:tab w:val="num" w:pos="5670"/>
        </w:tabs>
        <w:ind w:left="540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9EF348">
      <w:start w:val="1"/>
      <w:numFmt w:val="bullet"/>
      <w:lvlText w:val="·"/>
      <w:lvlJc w:val="left"/>
      <w:pPr>
        <w:tabs>
          <w:tab w:val="left" w:pos="1440"/>
          <w:tab w:val="left" w:pos="1710"/>
          <w:tab w:val="num" w:pos="6390"/>
        </w:tabs>
        <w:ind w:left="612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6FB48">
      <w:start w:val="1"/>
      <w:numFmt w:val="bullet"/>
      <w:lvlText w:val="o"/>
      <w:lvlJc w:val="left"/>
      <w:pPr>
        <w:tabs>
          <w:tab w:val="left" w:pos="1440"/>
          <w:tab w:val="left" w:pos="1710"/>
          <w:tab w:val="num" w:pos="7110"/>
        </w:tabs>
        <w:ind w:left="684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1A5240">
      <w:start w:val="1"/>
      <w:numFmt w:val="bullet"/>
      <w:lvlText w:val="▪"/>
      <w:lvlJc w:val="left"/>
      <w:pPr>
        <w:tabs>
          <w:tab w:val="left" w:pos="1440"/>
          <w:tab w:val="left" w:pos="1710"/>
          <w:tab w:val="num" w:pos="7830"/>
        </w:tabs>
        <w:ind w:left="756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A0675A"/>
    <w:multiLevelType w:val="hybridMultilevel"/>
    <w:tmpl w:val="71B22C4E"/>
    <w:styleLink w:val="ImportedStyle1"/>
    <w:lvl w:ilvl="0" w:tplc="F2FE86E2">
      <w:start w:val="1"/>
      <w:numFmt w:val="bullet"/>
      <w:lvlText w:val="·"/>
      <w:lvlJc w:val="left"/>
      <w:pPr>
        <w:tabs>
          <w:tab w:val="left" w:pos="1440"/>
          <w:tab w:val="num" w:pos="1710"/>
        </w:tabs>
        <w:ind w:left="1080" w:firstLine="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EF2F6">
      <w:start w:val="1"/>
      <w:numFmt w:val="bullet"/>
      <w:lvlText w:val="o"/>
      <w:lvlJc w:val="left"/>
      <w:pPr>
        <w:tabs>
          <w:tab w:val="left" w:pos="1440"/>
          <w:tab w:val="left" w:pos="1710"/>
          <w:tab w:val="num" w:pos="2430"/>
        </w:tabs>
        <w:ind w:left="180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69A0E">
      <w:start w:val="1"/>
      <w:numFmt w:val="bullet"/>
      <w:lvlText w:val="▪"/>
      <w:lvlJc w:val="left"/>
      <w:pPr>
        <w:tabs>
          <w:tab w:val="left" w:pos="1440"/>
          <w:tab w:val="left" w:pos="1710"/>
          <w:tab w:val="num" w:pos="3150"/>
        </w:tabs>
        <w:ind w:left="252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CADC2C">
      <w:start w:val="1"/>
      <w:numFmt w:val="bullet"/>
      <w:lvlText w:val="·"/>
      <w:lvlJc w:val="left"/>
      <w:pPr>
        <w:tabs>
          <w:tab w:val="left" w:pos="1440"/>
          <w:tab w:val="left" w:pos="1710"/>
          <w:tab w:val="num" w:pos="3870"/>
        </w:tabs>
        <w:ind w:left="324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6E3128">
      <w:start w:val="1"/>
      <w:numFmt w:val="bullet"/>
      <w:lvlText w:val="o"/>
      <w:lvlJc w:val="left"/>
      <w:pPr>
        <w:tabs>
          <w:tab w:val="left" w:pos="1440"/>
          <w:tab w:val="left" w:pos="1710"/>
          <w:tab w:val="num" w:pos="4590"/>
        </w:tabs>
        <w:ind w:left="396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F0E944">
      <w:start w:val="1"/>
      <w:numFmt w:val="bullet"/>
      <w:lvlText w:val="▪"/>
      <w:lvlJc w:val="left"/>
      <w:pPr>
        <w:tabs>
          <w:tab w:val="left" w:pos="1440"/>
          <w:tab w:val="left" w:pos="1710"/>
          <w:tab w:val="num" w:pos="5310"/>
        </w:tabs>
        <w:ind w:left="468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F726">
      <w:start w:val="1"/>
      <w:numFmt w:val="bullet"/>
      <w:lvlText w:val="·"/>
      <w:lvlJc w:val="left"/>
      <w:pPr>
        <w:tabs>
          <w:tab w:val="left" w:pos="1440"/>
          <w:tab w:val="left" w:pos="1710"/>
          <w:tab w:val="num" w:pos="6030"/>
        </w:tabs>
        <w:ind w:left="5400" w:hanging="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249ABA">
      <w:start w:val="1"/>
      <w:numFmt w:val="bullet"/>
      <w:lvlText w:val="o"/>
      <w:lvlJc w:val="left"/>
      <w:pPr>
        <w:tabs>
          <w:tab w:val="left" w:pos="1440"/>
          <w:tab w:val="left" w:pos="1710"/>
          <w:tab w:val="num" w:pos="6750"/>
        </w:tabs>
        <w:ind w:left="612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2F314">
      <w:start w:val="1"/>
      <w:numFmt w:val="bullet"/>
      <w:lvlText w:val="▪"/>
      <w:lvlJc w:val="left"/>
      <w:pPr>
        <w:tabs>
          <w:tab w:val="left" w:pos="1440"/>
          <w:tab w:val="left" w:pos="1710"/>
          <w:tab w:val="num" w:pos="7470"/>
        </w:tabs>
        <w:ind w:left="6840" w:hanging="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D4C08D8"/>
    <w:multiLevelType w:val="multilevel"/>
    <w:tmpl w:val="FF00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9E70B3"/>
    <w:multiLevelType w:val="hybridMultilevel"/>
    <w:tmpl w:val="DF4C05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B5D7585"/>
    <w:multiLevelType w:val="hybridMultilevel"/>
    <w:tmpl w:val="71B22C4E"/>
    <w:numStyleLink w:val="ImportedStyle1"/>
  </w:abstractNum>
  <w:abstractNum w:abstractNumId="7" w15:restartNumberingAfterBreak="0">
    <w:nsid w:val="5CB55BA0"/>
    <w:multiLevelType w:val="multilevel"/>
    <w:tmpl w:val="C21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9F0364"/>
    <w:multiLevelType w:val="hybridMultilevel"/>
    <w:tmpl w:val="58C4DE60"/>
    <w:numStyleLink w:val="ImportedStyle2"/>
  </w:abstractNum>
  <w:abstractNum w:abstractNumId="9" w15:restartNumberingAfterBreak="0">
    <w:nsid w:val="722E2263"/>
    <w:multiLevelType w:val="multilevel"/>
    <w:tmpl w:val="C21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45AC1"/>
    <w:multiLevelType w:val="hybridMultilevel"/>
    <w:tmpl w:val="DF72BB08"/>
    <w:lvl w:ilvl="0" w:tplc="B8E6D116">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10"/>
  </w:num>
  <w:num w:numId="7">
    <w:abstractNumId w:val="7"/>
  </w:num>
  <w:num w:numId="8">
    <w:abstractNumId w:val="4"/>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56"/>
    <w:rsid w:val="000D7E52"/>
    <w:rsid w:val="001101D0"/>
    <w:rsid w:val="0014152C"/>
    <w:rsid w:val="001F2569"/>
    <w:rsid w:val="00285EF0"/>
    <w:rsid w:val="003A55FB"/>
    <w:rsid w:val="004660AA"/>
    <w:rsid w:val="004D2856"/>
    <w:rsid w:val="00721B63"/>
    <w:rsid w:val="007A3FD1"/>
    <w:rsid w:val="007D1F56"/>
    <w:rsid w:val="00806893"/>
    <w:rsid w:val="00826F81"/>
    <w:rsid w:val="008474BB"/>
    <w:rsid w:val="008732E6"/>
    <w:rsid w:val="009837C3"/>
    <w:rsid w:val="009B2917"/>
    <w:rsid w:val="00A10014"/>
    <w:rsid w:val="00A21B1C"/>
    <w:rsid w:val="00B03CF3"/>
    <w:rsid w:val="00B92F82"/>
    <w:rsid w:val="00CC597A"/>
    <w:rsid w:val="00CE2F9F"/>
    <w:rsid w:val="00E90F94"/>
    <w:rsid w:val="00EA61F4"/>
    <w:rsid w:val="00E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2309"/>
  <w15:docId w15:val="{6C5892CA-0564-4131-A790-305F33DC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character" w:customStyle="1" w:styleId="Hyperlink0">
    <w:name w:val="Hyperlink.0"/>
    <w:rPr>
      <w:color w:val="404040"/>
      <w:u w:color="404040"/>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1">
    <w:name w:val="Hyperlink.1"/>
    <w:basedOn w:val="None"/>
    <w:rPr>
      <w:rFonts w:ascii="Arial" w:eastAsia="Arial" w:hAnsi="Arial" w:cs="Arial"/>
      <w:color w:val="404040"/>
      <w:u w:color="404040"/>
    </w:rPr>
  </w:style>
  <w:style w:type="character" w:customStyle="1" w:styleId="Hyperlink2">
    <w:name w:val="Hyperlink.2"/>
    <w:basedOn w:val="None"/>
    <w:rPr>
      <w:rFonts w:ascii="Arial" w:eastAsia="Arial" w:hAnsi="Arial" w:cs="Arial"/>
      <w:color w:val="3157A3"/>
      <w:u w:val="single" w:color="3157A3"/>
      <w:lang w:val="en-US"/>
    </w:rPr>
  </w:style>
  <w:style w:type="paragraph" w:customStyle="1" w:styleId="Body">
    <w:name w:val="Body"/>
    <w:rPr>
      <w:rFonts w:cs="Arial Unicode MS"/>
      <w:color w:val="000000"/>
      <w:sz w:val="24"/>
      <w:szCs w:val="24"/>
      <w:u w:color="000000"/>
    </w:rPr>
  </w:style>
  <w:style w:type="paragraph" w:styleId="Footer">
    <w:name w:val="footer"/>
    <w:basedOn w:val="Normal"/>
    <w:link w:val="FooterChar"/>
    <w:uiPriority w:val="99"/>
    <w:unhideWhenUsed/>
    <w:rsid w:val="004660AA"/>
    <w:pPr>
      <w:tabs>
        <w:tab w:val="center" w:pos="4680"/>
        <w:tab w:val="right" w:pos="9360"/>
      </w:tabs>
    </w:pPr>
  </w:style>
  <w:style w:type="character" w:customStyle="1" w:styleId="FooterChar">
    <w:name w:val="Footer Char"/>
    <w:basedOn w:val="DefaultParagraphFont"/>
    <w:link w:val="Footer"/>
    <w:uiPriority w:val="99"/>
    <w:rsid w:val="004660AA"/>
    <w:rPr>
      <w:sz w:val="24"/>
      <w:szCs w:val="24"/>
    </w:rPr>
  </w:style>
  <w:style w:type="paragraph" w:styleId="BalloonText">
    <w:name w:val="Balloon Text"/>
    <w:basedOn w:val="Normal"/>
    <w:link w:val="BalloonTextChar"/>
    <w:uiPriority w:val="99"/>
    <w:semiHidden/>
    <w:unhideWhenUsed/>
    <w:rsid w:val="00721B63"/>
    <w:rPr>
      <w:rFonts w:ascii="Tahoma" w:hAnsi="Tahoma" w:cs="Tahoma"/>
      <w:sz w:val="16"/>
      <w:szCs w:val="16"/>
    </w:rPr>
  </w:style>
  <w:style w:type="character" w:customStyle="1" w:styleId="BalloonTextChar">
    <w:name w:val="Balloon Text Char"/>
    <w:basedOn w:val="DefaultParagraphFont"/>
    <w:link w:val="BalloonText"/>
    <w:uiPriority w:val="99"/>
    <w:semiHidden/>
    <w:rsid w:val="00721B63"/>
    <w:rPr>
      <w:rFonts w:ascii="Tahoma" w:hAnsi="Tahoma" w:cs="Tahoma"/>
      <w:sz w:val="16"/>
      <w:szCs w:val="16"/>
    </w:rPr>
  </w:style>
  <w:style w:type="paragraph" w:styleId="ListParagraph">
    <w:name w:val="List Paragraph"/>
    <w:basedOn w:val="Normal"/>
    <w:uiPriority w:val="99"/>
    <w:qFormat/>
    <w:rsid w:val="007D1F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2"/>
      <w:szCs w:val="22"/>
      <w:bdr w:val="none" w:sz="0" w:space="0" w:color="auto"/>
    </w:rPr>
  </w:style>
  <w:style w:type="character" w:customStyle="1" w:styleId="wpj2">
    <w:name w:val="wpj2"/>
    <w:basedOn w:val="DefaultParagraphFont"/>
    <w:rsid w:val="003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7819">
      <w:bodyDiv w:val="1"/>
      <w:marLeft w:val="0"/>
      <w:marRight w:val="0"/>
      <w:marTop w:val="0"/>
      <w:marBottom w:val="0"/>
      <w:divBdr>
        <w:top w:val="none" w:sz="0" w:space="0" w:color="auto"/>
        <w:left w:val="none" w:sz="0" w:space="0" w:color="auto"/>
        <w:bottom w:val="none" w:sz="0" w:space="0" w:color="auto"/>
        <w:right w:val="none" w:sz="0" w:space="0" w:color="auto"/>
      </w:divBdr>
    </w:div>
    <w:div w:id="1404643695">
      <w:bodyDiv w:val="1"/>
      <w:marLeft w:val="0"/>
      <w:marRight w:val="0"/>
      <w:marTop w:val="0"/>
      <w:marBottom w:val="0"/>
      <w:divBdr>
        <w:top w:val="none" w:sz="0" w:space="0" w:color="auto"/>
        <w:left w:val="none" w:sz="0" w:space="0" w:color="auto"/>
        <w:bottom w:val="none" w:sz="0" w:space="0" w:color="auto"/>
        <w:right w:val="none" w:sz="0" w:space="0" w:color="auto"/>
      </w:divBdr>
    </w:div>
    <w:div w:id="1435829929">
      <w:bodyDiv w:val="1"/>
      <w:marLeft w:val="0"/>
      <w:marRight w:val="0"/>
      <w:marTop w:val="0"/>
      <w:marBottom w:val="0"/>
      <w:divBdr>
        <w:top w:val="none" w:sz="0" w:space="0" w:color="auto"/>
        <w:left w:val="none" w:sz="0" w:space="0" w:color="auto"/>
        <w:bottom w:val="none" w:sz="0" w:space="0" w:color="auto"/>
        <w:right w:val="none" w:sz="0" w:space="0" w:color="auto"/>
      </w:divBdr>
    </w:div>
    <w:div w:id="1713966041">
      <w:bodyDiv w:val="1"/>
      <w:marLeft w:val="0"/>
      <w:marRight w:val="0"/>
      <w:marTop w:val="0"/>
      <w:marBottom w:val="0"/>
      <w:divBdr>
        <w:top w:val="none" w:sz="0" w:space="0" w:color="auto"/>
        <w:left w:val="none" w:sz="0" w:space="0" w:color="auto"/>
        <w:bottom w:val="none" w:sz="0" w:space="0" w:color="auto"/>
        <w:right w:val="none" w:sz="0" w:space="0" w:color="auto"/>
      </w:divBdr>
    </w:div>
    <w:div w:id="208745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cockwhitney.com/care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D6CF8C1F29E4AB494E9446553EF1D" ma:contentTypeVersion="5" ma:contentTypeDescription="Create a new document." ma:contentTypeScope="" ma:versionID="f4b6c2eeeb8b38f645eeba64b5770c62">
  <xsd:schema xmlns:xsd="http://www.w3.org/2001/XMLSchema" xmlns:xs="http://www.w3.org/2001/XMLSchema" xmlns:p="http://schemas.microsoft.com/office/2006/metadata/properties" xmlns:ns2="6d30e400-0dde-40df-92f4-82868bff8cf9" targetNamespace="http://schemas.microsoft.com/office/2006/metadata/properties" ma:root="true" ma:fieldsID="4cee7b2cf451d688f1e80ff174251a68" ns2:_="">
    <xsd:import namespace="6d30e400-0dde-40df-92f4-82868bff8cf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e400-0dde-40df-92f4-82868bff8c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A3330-0D84-4D23-A79E-1287A21BB547}">
  <ds:schemaRefs>
    <ds:schemaRef ds:uri="http://schemas.microsoft.com/sharepoint/v3/contenttype/forms"/>
  </ds:schemaRefs>
</ds:datastoreItem>
</file>

<file path=customXml/itemProps2.xml><?xml version="1.0" encoding="utf-8"?>
<ds:datastoreItem xmlns:ds="http://schemas.openxmlformats.org/officeDocument/2006/customXml" ds:itemID="{2A0F16EC-DEC3-4D79-86DA-99BDDC560062}">
  <ds:schemaRefs>
    <ds:schemaRef ds:uri="6d30e400-0dde-40df-92f4-82868bff8cf9"/>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E5352C5-3B09-4D52-ABB9-ED65D0E8D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e400-0dde-40df-92f4-82868bff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Hancock Holding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Ochs, Jaime</dc:creator>
  <cp:lastModifiedBy>Pisarich, Dusti</cp:lastModifiedBy>
  <cp:revision>2</cp:revision>
  <cp:lastPrinted>2022-07-06T20:57:00Z</cp:lastPrinted>
  <dcterms:created xsi:type="dcterms:W3CDTF">2023-01-31T18:12:00Z</dcterms:created>
  <dcterms:modified xsi:type="dcterms:W3CDTF">2023-01-31T18:12:00Z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0x010100DA5D6CF8C1F29E4AB494E9446553EF1D</vt:lpwstr>
  </property>
</Properties>
</file>